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513664</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AI/ML for NR air interface</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5"/>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5"/>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6A1BC8F5">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2D819DF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meeting, for LCM, it was agreed that for beam prediction, UE has to be ready to start measurements for inference after sending RRC reconfiguration complete. Inference delay will be included in the inference reporting delay.</w:t>
      </w:r>
    </w:p>
    <w:p w14:paraId="209D461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RAN2 agreed that the </w:t>
      </w:r>
      <w:r>
        <w:rPr>
          <w:rFonts w:hint="eastAsia" w:ascii="Times New Roman" w:hAnsi="Times New Roman" w:eastAsia="等线"/>
          <w:bCs/>
          <w:iCs/>
          <w:sz w:val="20"/>
          <w:szCs w:val="20"/>
          <w:vertAlign w:val="baseline"/>
          <w:lang w:val="en-US" w:eastAsia="zh-CN"/>
        </w:rPr>
        <w:t xml:space="preserve">applicability reporting procedures for CSI prediction are the same as for beam management. RAN2 confirms that option B is not supported for CSI prediction, given no parameters were provided by RAN1. With this agreements, the agreements on activation for beam prediction can also be used for CSI prediction. </w:t>
      </w:r>
      <w:r>
        <w:rPr>
          <w:rFonts w:hint="eastAsia" w:ascii="Times New Roman" w:hAnsi="Times New Roman" w:eastAsia="等线"/>
          <w:bCs/>
          <w:iCs/>
          <w:sz w:val="20"/>
          <w:szCs w:val="20"/>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183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C0F8776">
            <w:pPr>
              <w:spacing w:after="180" w:line="240" w:lineRule="exact"/>
              <w:rPr>
                <w:rFonts w:hint="default"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Agreements in RAN2 #131 meeting</w:t>
            </w:r>
          </w:p>
          <w:p w14:paraId="150EE293">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1 The procedures for UE data collection request for the CSI prediction use case are the same as for the beam management use case.</w:t>
            </w:r>
          </w:p>
          <w:p w14:paraId="257CDEC1">
            <w:pPr>
              <w:spacing w:after="180" w:line="240" w:lineRule="exact"/>
              <w:rPr>
                <w:rFonts w:hint="eastAsia" w:ascii="Times New Roman" w:hAnsi="Times New Roman" w:eastAsia="等线"/>
                <w:bCs/>
                <w:iCs/>
                <w:sz w:val="20"/>
                <w:szCs w:val="20"/>
                <w:highlight w:val="cyan"/>
                <w:vertAlign w:val="baseline"/>
                <w:lang w:val="en-US" w:eastAsia="zh-CN"/>
              </w:rPr>
            </w:pPr>
            <w:r>
              <w:rPr>
                <w:rFonts w:hint="eastAsia" w:ascii="Times New Roman" w:hAnsi="Times New Roman" w:eastAsia="等线"/>
                <w:bCs/>
                <w:iCs/>
                <w:sz w:val="20"/>
                <w:szCs w:val="20"/>
                <w:vertAlign w:val="baseline"/>
                <w:lang w:val="en-US" w:eastAsia="zh-CN"/>
              </w:rPr>
              <w:t xml:space="preserve">2 </w:t>
            </w:r>
            <w:r>
              <w:rPr>
                <w:rFonts w:hint="eastAsia" w:ascii="Times New Roman" w:hAnsi="Times New Roman" w:eastAsia="等线"/>
                <w:bCs/>
                <w:iCs/>
                <w:sz w:val="20"/>
                <w:szCs w:val="20"/>
                <w:highlight w:val="cyan"/>
                <w:vertAlign w:val="baseline"/>
                <w:lang w:val="en-US" w:eastAsia="zh-CN"/>
              </w:rPr>
              <w:t>The applicability reporting procedures for CSI prediction are the same as for beam management. RAN2 confirms that option B is not supported for CSI prediction, given no parameters were provided by RAN1.</w:t>
            </w:r>
          </w:p>
          <w:p w14:paraId="309FF11D">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3 RAN2 understand that when network releases inference configurations of poor-performed applicable functionalities, network may also provide either non-AI/ML configuration in CSI-ReportConfig or may provide full inference configuration of other applicable functionalities, if previously not configured to UE. There is no spec impact and feedback from the NW to the UE to adjust the applicability determination procedure is not supported in Rel-19.</w:t>
            </w:r>
          </w:p>
          <w:p w14:paraId="525DA1D9">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4 No enhancements are pursued for reporting applicability in RRCReestablishmentComplete.</w:t>
            </w:r>
          </w:p>
          <w:p w14:paraId="534D65B6">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5 The UE can report applicability via RRCResumeComplete for SCG inference configurations received in RRCResume, without specification impact beyond already agreed applicability reporting procedure.</w:t>
            </w:r>
          </w:p>
          <w:p w14:paraId="281C5F6F">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6 Applicability reporting is added in RRCResumeComplete for inference configurations that exist at the UE based on legacy procedures (restored or received in RRCResume).</w:t>
            </w:r>
          </w:p>
          <w:p w14:paraId="238E70FF">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 xml:space="preserve">7 RAN2 assumes for no NR DC enhancements are considered and will not ask RAN3 work in Rel-19.  </w:t>
            </w:r>
          </w:p>
        </w:tc>
      </w:tr>
    </w:tbl>
    <w:p w14:paraId="0AE9905B">
      <w:pPr>
        <w:spacing w:after="180" w:line="240" w:lineRule="exact"/>
        <w:rPr>
          <w:rFonts w:hint="eastAsia" w:ascii="Times New Roman" w:hAnsi="Times New Roman" w:eastAsia="等线"/>
          <w:bCs/>
          <w:iCs/>
          <w:sz w:val="20"/>
          <w:szCs w:val="20"/>
          <w:lang w:val="en-US" w:eastAsia="zh-CN"/>
        </w:rPr>
      </w:pPr>
    </w:p>
    <w:p w14:paraId="16A5D5E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w:t>
      </w:r>
      <w:r>
        <w:rPr>
          <w:rFonts w:hint="eastAsia" w:ascii="Times New Roman" w:hAnsi="Times New Roman" w:eastAsia="等线"/>
          <w:b/>
          <w:bCs w:val="0"/>
          <w:i/>
          <w:iCs w:val="0"/>
          <w:sz w:val="20"/>
          <w:szCs w:val="20"/>
          <w:vertAlign w:val="baseline"/>
          <w:lang w:val="en-US" w:eastAsia="zh-CN"/>
        </w:rPr>
        <w:t xml:space="preserve">the agreements on activation for beam prediction is applied for CSI prediction. In detail, for CSI prediction, </w:t>
      </w:r>
      <w:r>
        <w:rPr>
          <w:rFonts w:hint="eastAsia" w:ascii="Times New Roman" w:hAnsi="Times New Roman" w:eastAsia="等线"/>
          <w:b/>
          <w:bCs w:val="0"/>
          <w:i/>
          <w:iCs w:val="0"/>
          <w:sz w:val="20"/>
          <w:szCs w:val="20"/>
          <w:lang w:val="en-US" w:eastAsia="zh-CN"/>
        </w:rPr>
        <w:t xml:space="preserve">UE has to be ready to start measurements for inference after sending RRC reconfiguration complete. </w:t>
      </w:r>
    </w:p>
    <w:p w14:paraId="7513148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RAN4#105 meeting, it was agreed to define one test per UE capability as a minimum, FFS &gt;1 test per UE capability.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60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2F3397B">
            <w:pPr>
              <w:spacing w:after="120" w:afterLines="50"/>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Agreements</w:t>
            </w:r>
            <w:r>
              <w:rPr>
                <w:rFonts w:hint="eastAsia" w:ascii="Times New Roman" w:hAnsi="Times New Roman" w:cs="Times New Roman"/>
                <w:b/>
                <w:sz w:val="20"/>
                <w:szCs w:val="20"/>
                <w:lang w:val="en-US" w:eastAsia="zh-CN"/>
              </w:rPr>
              <w:t xml:space="preserve"> in RAN4#105 meeting</w:t>
            </w:r>
            <w:r>
              <w:rPr>
                <w:rFonts w:hint="default" w:ascii="Times New Roman" w:hAnsi="Times New Roman" w:cs="Times New Roman"/>
                <w:b/>
                <w:sz w:val="20"/>
                <w:szCs w:val="20"/>
                <w:lang w:eastAsia="zh-CN"/>
              </w:rPr>
              <w:t>:</w:t>
            </w:r>
          </w:p>
          <w:p w14:paraId="5C99A99A">
            <w:p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high level and general guidelines for the generalization test are provided as follow. The exact decisions are to be made case by case.</w:t>
            </w:r>
          </w:p>
          <w:p w14:paraId="0E0C68AB">
            <w:pPr>
              <w:pStyle w:val="11"/>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Study and , if feasible, define requirements for each AI/ML functionality</w:t>
            </w:r>
          </w:p>
          <w:p w14:paraId="0D1814EF">
            <w:pPr>
              <w:pStyle w:val="11"/>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Define one test per UE capability as a minimum</w:t>
            </w:r>
          </w:p>
          <w:p w14:paraId="6FE7B9C3">
            <w:pPr>
              <w:pStyle w:val="11"/>
              <w:numPr>
                <w:ilvl w:val="1"/>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&gt;1 test per UE capability</w:t>
            </w:r>
          </w:p>
          <w:p w14:paraId="214920BC">
            <w:pPr>
              <w:pStyle w:val="11"/>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Define a minimum set of test configurations (including NW sided conditions if any) as mandatory for testing of AI/ML-enabled Feature</w:t>
            </w:r>
          </w:p>
          <w:p w14:paraId="37BB8F8B">
            <w:pPr>
              <w:pStyle w:val="11"/>
              <w:numPr>
                <w:ilvl w:val="0"/>
                <w:numId w:val="0"/>
              </w:numPr>
              <w:spacing w:after="120"/>
              <w:ind w:left="284" w:leftChars="0"/>
              <w:textAlignment w:val="auto"/>
              <w:rPr>
                <w:rFonts w:hint="default" w:ascii="Times New Roman" w:hAnsi="Times New Roman" w:cs="Times New Roman"/>
                <w:sz w:val="20"/>
                <w:szCs w:val="20"/>
                <w:lang w:eastAsia="zh-CN"/>
              </w:rPr>
            </w:pPr>
          </w:p>
          <w:p w14:paraId="53274498">
            <w:p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Potential areas to consider for generalization testing:</w:t>
            </w:r>
          </w:p>
          <w:p w14:paraId="247F670B">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gNB array parameters</w:t>
            </w:r>
          </w:p>
          <w:p w14:paraId="46A0D315">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port layouts, array size, antenna virtualization</w:t>
            </w:r>
          </w:p>
          <w:p w14:paraId="22CEAE6A">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propagation conditions</w:t>
            </w:r>
          </w:p>
          <w:p w14:paraId="6E05CD8E">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Deployment scenarios</w:t>
            </w:r>
          </w:p>
          <w:p w14:paraId="6FABB180">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Carrier frequencies</w:t>
            </w:r>
          </w:p>
          <w:p w14:paraId="28C57184">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Speeds</w:t>
            </w:r>
          </w:p>
          <w:p w14:paraId="39A08BBA">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Indoor/outdoor</w:t>
            </w:r>
          </w:p>
          <w:p w14:paraId="5F1D2FF1">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Bandwidths</w:t>
            </w:r>
          </w:p>
          <w:p w14:paraId="21E62374">
            <w:pPr>
              <w:numPr>
                <w:ilvl w:val="0"/>
                <w:numId w:val="7"/>
              </w:numPr>
              <w:spacing w:after="120"/>
              <w:textAlignment w:val="auto"/>
              <w:rPr>
                <w:rFonts w:hint="eastAsia" w:ascii="Times New Roman" w:hAnsi="Times New Roman" w:eastAsia="等线"/>
                <w:bCs/>
                <w:iCs/>
                <w:sz w:val="20"/>
                <w:szCs w:val="20"/>
                <w:vertAlign w:val="baseline"/>
                <w:lang w:val="en-US" w:eastAsia="zh-CN"/>
              </w:rPr>
            </w:pPr>
            <w:r>
              <w:rPr>
                <w:rFonts w:hint="default" w:ascii="Times New Roman" w:hAnsi="Times New Roman" w:cs="Times New Roman"/>
                <w:sz w:val="20"/>
                <w:szCs w:val="20"/>
                <w:lang w:eastAsia="zh-CN"/>
              </w:rPr>
              <w:t>SNR</w:t>
            </w:r>
          </w:p>
        </w:tc>
      </w:tr>
    </w:tbl>
    <w:p w14:paraId="4441A77D">
      <w:pPr>
        <w:spacing w:after="180" w:line="240" w:lineRule="exact"/>
        <w:rPr>
          <w:rFonts w:hint="eastAsia" w:ascii="Times New Roman" w:hAnsi="Times New Roman" w:eastAsia="等线"/>
          <w:bCs/>
          <w:iCs/>
          <w:sz w:val="20"/>
          <w:szCs w:val="20"/>
          <w:lang w:val="en-US" w:eastAsia="zh-CN"/>
        </w:rPr>
      </w:pPr>
    </w:p>
    <w:p w14:paraId="45C5B40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We will further discuss this issue case by case based on RAN1 lastest agreed feature list [4]. </w:t>
      </w:r>
    </w:p>
    <w:p w14:paraId="6A44DFE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beam management, accroding to current RAN1 feature list [4], the feature group is categorized as Increased number of reported RSs for beam management, UE-side beam prediction for BM Case1 [for inference], UE-side beam prediction for BM Case1 with predicted RSRP [for inference], UE-side beam prediction for BM Case2 [for inference], UE-side beam prediction for BM-Case2 with predicted RSRP [for inference], Data collection for UE-side beam prediction [for BM case 1]. For each feature group, there are multiple components. Taking feature group of UE-side beam prediction for BM Case1 [for inference] as an example, there are as much as 12 components, such as maximum number of inference report(s) configured for BM-Case1 per BWP, supported combinations of the number of resources for Set B  and the number of resources for Set A, etc. </w:t>
      </w:r>
    </w:p>
    <w:p w14:paraId="4564DBE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our previous agreements that d</w:t>
      </w:r>
      <w:r>
        <w:rPr>
          <w:rFonts w:hint="default" w:ascii="Times New Roman" w:hAnsi="Times New Roman" w:cs="Times New Roman"/>
          <w:sz w:val="20"/>
          <w:szCs w:val="20"/>
          <w:lang w:eastAsia="zh-CN"/>
        </w:rPr>
        <w:t>efine one test per UE capability as a minimum</w:t>
      </w:r>
      <w:r>
        <w:rPr>
          <w:rFonts w:hint="eastAsia" w:ascii="Times New Roman" w:hAnsi="Times New Roman" w:cs="Times New Roman"/>
          <w:sz w:val="20"/>
          <w:szCs w:val="20"/>
          <w:lang w:val="en-US" w:eastAsia="zh-CN"/>
        </w:rPr>
        <w:t>, it is necessary to align the granularity of UE capability. The UE capability refer to feature group or each component of each feature group in RAN1 feature list. Taking beam prediction as an example, the issue is how RAN4 to define the test. Option 1 is that RAN4 respectively define one test for each feature group, the feature group includes UE-side beam prediction for BM Case1 [for inference], UE-side beam prediction for BM Case1 with predicted RSRP [for inference], UE-side beam prediction for BM Case2 [for inference], UE-side beam prediction for BM-Case2 with predicted RSRP [for inference]. Option 2 is to define mutiple tests for each feature group, and each test corresponding to one component in one feature group.</w:t>
      </w:r>
    </w:p>
    <w:p w14:paraId="3B0F567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If the UE capability refer to feature group in RAN1 feature list, only one test per UE capability is not enough. Even if the UE capability refer to each component of each feature group in RAN1 feature list, there is a risk that the performance may not be guaranted with only one test per UE capability. The reason is that the granularity of UE capability in RAN1 feature list is very rough. For example, RAN1 feature list may consider combinations of the number of resources for Set B and the number of resources for Set A, however, the AI/ML performance is also impacted by the channel condition, gNB array parameter, etc. Even for a certein combination of the number of resources for Set B and the number of resources for Set A, the AI/ML performance may be different for different channel condition, gNB array parameter, etc. From this point of view, it is proposed to consider &gt;1 test per UE capability.</w:t>
      </w:r>
    </w:p>
    <w:p w14:paraId="35CCF8A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generalization test, it is proposed to consider &gt;1 test per UE capability if the granularity of UE capability is rough.     </w:t>
      </w:r>
    </w:p>
    <w:p w14:paraId="5D66EF8C">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sz w:val="20"/>
          <w:szCs w:val="20"/>
        </w:rPr>
        <w:t>. The proposals are:</w:t>
      </w:r>
    </w:p>
    <w:p w14:paraId="26206F0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w:t>
      </w:r>
      <w:r>
        <w:rPr>
          <w:rFonts w:hint="eastAsia" w:ascii="Times New Roman" w:hAnsi="Times New Roman" w:eastAsia="等线"/>
          <w:b/>
          <w:bCs w:val="0"/>
          <w:i/>
          <w:iCs w:val="0"/>
          <w:sz w:val="20"/>
          <w:szCs w:val="20"/>
          <w:vertAlign w:val="baseline"/>
          <w:lang w:val="en-US" w:eastAsia="zh-CN"/>
        </w:rPr>
        <w:t xml:space="preserve">the agreements on activation for beam prediction is applied for CSI prediction. In detail, for CSI prediction, </w:t>
      </w:r>
      <w:r>
        <w:rPr>
          <w:rFonts w:hint="eastAsia" w:ascii="Times New Roman" w:hAnsi="Times New Roman" w:eastAsia="等线"/>
          <w:b/>
          <w:bCs w:val="0"/>
          <w:i/>
          <w:iCs w:val="0"/>
          <w:sz w:val="20"/>
          <w:szCs w:val="20"/>
          <w:lang w:val="en-US" w:eastAsia="zh-CN"/>
        </w:rPr>
        <w:t xml:space="preserve">UE has to be ready to start measurements for inference after sending RRC reconfiguration complete. </w:t>
      </w:r>
    </w:p>
    <w:p w14:paraId="2AE9239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generalization test, it is proposed to consider &gt;1 test per UE capability if the granularity of UE capability is rough.     </w:t>
      </w:r>
    </w:p>
    <w:p w14:paraId="422F0EDF">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3"/>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2C8E11A6">
      <w:pPr>
        <w:pStyle w:val="13"/>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219A6795">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R4-2511849</w:t>
      </w:r>
      <w:r>
        <w:rPr>
          <w:rFonts w:hint="eastAsia" w:ascii="Times" w:hAnsi="Times" w:eastAsia="宋体"/>
          <w:b w:val="0"/>
          <w:sz w:val="20"/>
          <w:lang w:val="en-US" w:eastAsia="zh-CN"/>
        </w:rPr>
        <w:t>, WF on [116][132] NR_AIML_air_part2</w:t>
      </w:r>
    </w:p>
    <w:p w14:paraId="6201CBF1">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R4-2513004</w:t>
      </w:r>
      <w:r>
        <w:rPr>
          <w:rFonts w:hint="eastAsia" w:ascii="Times" w:hAnsi="Times" w:eastAsia="宋体"/>
          <w:b w:val="0"/>
          <w:sz w:val="20"/>
          <w:lang w:val="en-US" w:eastAsia="zh-CN"/>
        </w:rPr>
        <w:t>, LS on updated Rel-19 RAN1 UE features lists for NR after RAN1#122</w:t>
      </w:r>
    </w:p>
    <w:p w14:paraId="09F5461A">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2FAA37D9">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15D475DD">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4B1FD71B">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2F914823">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R5-24</w:t>
      </w:r>
      <w:r>
        <w:rPr>
          <w:rFonts w:hint="eastAsia" w:ascii="Times" w:hAnsi="Times" w:eastAsia="宋体"/>
          <w:b w:val="0"/>
          <w:sz w:val="20"/>
          <w:lang w:val="en-US" w:eastAsia="zh-CN"/>
        </w:rPr>
        <w:t>7647, Discussion on handling of AI/ML in RAN5, China Mobile, AT&amp;T, CAICT, Ericsson, Huawei, MediaTek, Nokia, ZTE</w:t>
      </w:r>
    </w:p>
    <w:p w14:paraId="6004D2CA">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3"/>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3"/>
        <w:framePr w:wrap="auto" w:vAnchor="margin" w:hAnchor="text" w:yAlign="inline"/>
        <w:ind w:right="400"/>
        <w:jc w:val="both"/>
        <w:rPr>
          <w:rFonts w:ascii="Times" w:hAnsi="Times" w:eastAsia="宋体"/>
          <w:b w:val="0"/>
          <w:sz w:val="20"/>
          <w:lang w:eastAsia="zh-CN"/>
        </w:rPr>
      </w:pPr>
    </w:p>
    <w:p w14:paraId="32EF543F">
      <w:pPr>
        <w:pStyle w:val="13"/>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24059CF"/>
    <w:multiLevelType w:val="multilevel"/>
    <w:tmpl w:val="124059C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70146DC0"/>
    <w:multiLevelType w:val="multilevel"/>
    <w:tmpl w:val="70146DC0"/>
    <w:lvl w:ilvl="0" w:tentative="0">
      <w:start w:val="1"/>
      <w:numFmt w:val="bullet"/>
      <w:pStyle w:val="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5"/>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42510"/>
    <w:rsid w:val="03C030A6"/>
    <w:rsid w:val="040E6340"/>
    <w:rsid w:val="053428A8"/>
    <w:rsid w:val="08B50B7B"/>
    <w:rsid w:val="09405F3B"/>
    <w:rsid w:val="09B01C47"/>
    <w:rsid w:val="0A573618"/>
    <w:rsid w:val="0D4D2B7A"/>
    <w:rsid w:val="0F4C27CC"/>
    <w:rsid w:val="0FA30B04"/>
    <w:rsid w:val="0FE50EF5"/>
    <w:rsid w:val="111346BF"/>
    <w:rsid w:val="11A46535"/>
    <w:rsid w:val="127D6382"/>
    <w:rsid w:val="13F2010B"/>
    <w:rsid w:val="142E3B2B"/>
    <w:rsid w:val="14A31207"/>
    <w:rsid w:val="14A423A8"/>
    <w:rsid w:val="15685863"/>
    <w:rsid w:val="15C5068C"/>
    <w:rsid w:val="18B21538"/>
    <w:rsid w:val="198619D0"/>
    <w:rsid w:val="1A720A97"/>
    <w:rsid w:val="1C970BAC"/>
    <w:rsid w:val="25C11700"/>
    <w:rsid w:val="2DD01DBA"/>
    <w:rsid w:val="2F3D15B9"/>
    <w:rsid w:val="31890F43"/>
    <w:rsid w:val="342D50A6"/>
    <w:rsid w:val="34453CA2"/>
    <w:rsid w:val="35D22FBC"/>
    <w:rsid w:val="37F31F59"/>
    <w:rsid w:val="393E203F"/>
    <w:rsid w:val="39C97388"/>
    <w:rsid w:val="3AA43493"/>
    <w:rsid w:val="3BFF4ED4"/>
    <w:rsid w:val="3DEF01B7"/>
    <w:rsid w:val="3E9E1A93"/>
    <w:rsid w:val="41F36599"/>
    <w:rsid w:val="44715EBB"/>
    <w:rsid w:val="47E11C0A"/>
    <w:rsid w:val="4D3D03C8"/>
    <w:rsid w:val="4E1736E9"/>
    <w:rsid w:val="4E5A52AA"/>
    <w:rsid w:val="5516017D"/>
    <w:rsid w:val="5D2641A2"/>
    <w:rsid w:val="5DCC0D69"/>
    <w:rsid w:val="61554B37"/>
    <w:rsid w:val="6163302D"/>
    <w:rsid w:val="61AF0D51"/>
    <w:rsid w:val="65E96850"/>
    <w:rsid w:val="6A356F1A"/>
    <w:rsid w:val="6AC458C1"/>
    <w:rsid w:val="6C8E3A48"/>
    <w:rsid w:val="6D205895"/>
    <w:rsid w:val="6D3A643F"/>
    <w:rsid w:val="6F3538B4"/>
    <w:rsid w:val="6F984846"/>
    <w:rsid w:val="715440AF"/>
    <w:rsid w:val="724D5513"/>
    <w:rsid w:val="739A5EFA"/>
    <w:rsid w:val="73EF26C0"/>
    <w:rsid w:val="753E3654"/>
    <w:rsid w:val="75886832"/>
    <w:rsid w:val="768169FB"/>
    <w:rsid w:val="77D070AC"/>
    <w:rsid w:val="79D9262A"/>
    <w:rsid w:val="7A4603DC"/>
    <w:rsid w:val="7AB15C57"/>
    <w:rsid w:val="7C3F4164"/>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7">
    <w:name w:val="List"/>
    <w:basedOn w:val="1"/>
    <w:semiHidden/>
    <w:qFormat/>
    <w:uiPriority w:val="0"/>
    <w:pPr>
      <w:ind w:left="568" w:hanging="284"/>
    </w:p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7"/>
    <w:qFormat/>
    <w:uiPriority w:val="0"/>
    <w:pPr>
      <w:ind w:left="568" w:hanging="284"/>
    </w:pPr>
  </w:style>
  <w:style w:type="paragraph" w:customStyle="1" w:styleId="15">
    <w:name w:val="B2"/>
    <w:basedOn w:val="1"/>
    <w:qFormat/>
    <w:uiPriority w:val="0"/>
    <w:pPr>
      <w:ind w:left="851" w:hanging="284"/>
    </w:pPr>
  </w:style>
  <w:style w:type="paragraph" w:customStyle="1" w:styleId="16">
    <w:name w:val="B3"/>
    <w:basedOn w:val="1"/>
    <w:qFormat/>
    <w:uiPriority w:val="0"/>
    <w:pPr>
      <w:ind w:left="1135" w:hanging="284"/>
    </w:pPr>
  </w:style>
  <w:style w:type="paragraph" w:customStyle="1" w:styleId="17">
    <w:name w:val="Agreement"/>
    <w:basedOn w:val="1"/>
    <w:next w:val="18"/>
    <w:qFormat/>
    <w:uiPriority w:val="99"/>
    <w:pPr>
      <w:numPr>
        <w:ilvl w:val="0"/>
        <w:numId w:val="3"/>
      </w:numPr>
      <w:spacing w:before="60"/>
    </w:pPr>
    <w:rPr>
      <w:b/>
    </w:rPr>
  </w:style>
  <w:style w:type="paragraph" w:customStyle="1" w:styleId="18">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2025-10-02T02:17:32Z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